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after="240"/>
        <w:jc w:val="center"/>
      </w:pPr>
      <w:r>
        <w:rPr>
          <w:rFonts w:ascii="Calibri" w:hAnsi="Calibri"/>
          <w:b/>
          <w:color w:val="E05A1A"/>
          <w:sz w:val="20"/>
        </w:rPr>
        <w:t>LEESWIJZER</w:t>
      </w:r>
    </w:p>
    <w:p>
      <w:pPr>
        <w:spacing w:after="200"/>
        <w:jc w:val="center"/>
      </w:pPr>
      <w:r>
        <w:rPr>
          <w:rFonts w:ascii="Calibri" w:hAnsi="Calibri"/>
          <w:b/>
          <w:color w:val="0B2545"/>
          <w:sz w:val="56"/>
        </w:rPr>
        <w:t>Leeswijzer toekomstgerichte kerndoelen</w:t>
      </w:r>
    </w:p>
    <w:p>
      <w:pPr>
        <w:spacing w:after="400"/>
        <w:jc w:val="center"/>
      </w:pPr>
      <w:r>
        <w:rPr>
          <w:rFonts w:ascii="Calibri" w:hAnsi="Calibri"/>
          <w:color w:val="2B5163"/>
          <w:sz w:val="28"/>
        </w:rPr>
        <w:t>Wat is onderzocht, wat ligt er en hoe gebruik je de documenten?</w:t>
      </w:r>
    </w:p>
    <w:p>
      <w:pPr>
        <w:spacing w:after="60"/>
        <w:jc w:val="center"/>
      </w:pPr>
      <w:r>
        <w:rPr>
          <w:rFonts w:ascii="Calibri" w:hAnsi="Calibri"/>
          <w:b/>
          <w:color w:val="5F6B76"/>
          <w:sz w:val="21"/>
        </w:rPr>
        <w:t>Primair onderwijs en onderbouw voortgezet onderwijs</w:t>
      </w:r>
    </w:p>
    <w:p>
      <w:pPr>
        <w:spacing w:after="680"/>
        <w:jc w:val="center"/>
      </w:pPr>
      <w:r>
        <w:rPr>
          <w:rFonts w:ascii="Calibri" w:hAnsi="Calibri"/>
          <w:color w:val="5F6B76"/>
          <w:sz w:val="20"/>
        </w:rPr>
        <w:t>Concept 1.0 | augustus 2026</w:t>
      </w:r>
    </w:p>
    <w:tbl>
      <w:tblPr>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c>
          <w:tcPr>
            <w:tcW w:type="dxa" w:w="9360"/>
            <w:vAlign w:val="center"/>
            <w:tcMar>
              <w:top w:w="80" w:type="dxa"/>
              <w:start w:w="120" w:type="dxa"/>
              <w:bottom w:w="80" w:type="dxa"/>
              <w:end w:w="120" w:type="dxa"/>
            </w:tcMar>
            <w:shd w:fill="F4F6F9"/>
          </w:tcPr>
          <w:p>
            <w:pPr>
              <w:spacing w:before="60" w:after="60" w:line="288" w:lineRule="auto"/>
            </w:pPr>
            <w:r>
              <w:rPr>
                <w:rFonts w:ascii="Calibri" w:hAnsi="Calibri"/>
                <w:b/>
                <w:color w:val="0B2545"/>
                <w:sz w:val="21"/>
              </w:rPr>
              <w:t xml:space="preserve">Status. </w:t>
            </w:r>
            <w:r>
              <w:rPr>
                <w:rFonts w:ascii="Calibri" w:hAnsi="Calibri"/>
                <w:color w:val="0B2545"/>
                <w:sz w:val="21"/>
              </w:rPr>
              <w:t>Dit is een onafhankelijk toekomstgericht curriculumvoorstel. Het document is niet afkomstig van SLO en heeft geen wettelijke status.</w:t>
            </w:r>
          </w:p>
        </w:tc>
      </w:tr>
    </w:tbl>
    <w:p>
      <w:pPr>
        <w:spacing w:after="0"/>
      </w:pPr>
    </w:p>
    <w:p>
      <w:r>
        <w:br w:type="page"/>
      </w:r>
    </w:p>
    <w:p>
      <w:pPr>
        <w:pStyle w:val="Heading1"/>
      </w:pPr>
      <w:r>
        <w:t>Wat hebben we gedaan?</w:t>
      </w:r>
    </w:p>
    <w:tbl>
      <w:tblPr>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9360"/>
      </w:tblGrid>
      <w:tr>
        <w:tc>
          <w:tcPr>
            <w:tcW w:type="dxa" w:w="9360"/>
            <w:vAlign w:val="center"/>
            <w:tcMar>
              <w:top w:w="80" w:type="dxa"/>
              <w:start w:w="120" w:type="dxa"/>
              <w:bottom w:w="80" w:type="dxa"/>
              <w:end w:w="120" w:type="dxa"/>
            </w:tcMar>
            <w:shd w:fill="F4F6F9"/>
          </w:tcPr>
          <w:p>
            <w:pPr>
              <w:spacing w:before="60" w:after="60" w:line="288" w:lineRule="auto"/>
            </w:pPr>
            <w:r>
              <w:rPr>
                <w:rFonts w:ascii="Calibri" w:hAnsi="Calibri"/>
                <w:b/>
                <w:color w:val="0B2545"/>
                <w:sz w:val="21"/>
              </w:rPr>
              <w:t xml:space="preserve">In een zin. </w:t>
            </w:r>
            <w:r>
              <w:rPr>
                <w:rFonts w:ascii="Calibri" w:hAnsi="Calibri"/>
                <w:color w:val="0B2545"/>
                <w:sz w:val="21"/>
              </w:rPr>
              <w:t>We hebben de vernieuwde SLO-kerndoelen opnieuw ontworpen vanuit een scenario waarin AI vrijwel alle cognitieve taken beter uitvoert dan mensen.</w:t>
            </w:r>
          </w:p>
        </w:tc>
      </w:tr>
    </w:tbl>
    <w:p>
      <w:pPr>
        <w:spacing w:after="0"/>
      </w:pPr>
    </w:p>
    <w:p>
      <w:r>
        <w:t>Daarbij is niet alleen gekeken naar wat AI kan overnemen, maar vooral naar wat leerlingen nodig hebben om als mens autonoom, deskundig, lichamelijk, sociaal en democratisch handelingsbekwaam te blijven.</w:t>
      </w:r>
    </w:p>
    <w:p>
      <w:r>
        <w:t>Een belangrijke conclusie is dat domeinkennis niet verdwijnt. Kennis is minder nodig om taken handmatig uit te voeren, maar blijft nodig om doelen te formuleren, gevolgen te begrijpen en zeggenschap niet ongemerkt aan AI over te dragen.</w:t>
      </w:r>
    </w:p>
    <w:p>
      <w:pPr>
        <w:pStyle w:val="Heading1"/>
      </w:pPr>
      <w:r>
        <w:t>Wat ligt er?</w:t>
      </w:r>
    </w:p>
    <w:tbl>
      <w:tblPr>
        <w:tblW w:type="dxa" w:w="9360"/>
        <w:jc w:val="left"/>
        <w:tblLayout w:type="fixed"/>
        <w:tblLook w:firstColumn="1" w:firstRow="1" w:lastColumn="0" w:lastRow="0" w:noHBand="0" w:noVBand="1" w:val="04A0"/>
        <w:tblInd w:w="120" w:type="dxa"/>
        <w:tblBorders>
          <w:top w:val="single" w:sz="4" w:color="D7DEE6"/>
          <w:left w:val="single" w:sz="4" w:color="D7DEE6"/>
          <w:bottom w:val="single" w:sz="4" w:color="D7DEE6"/>
          <w:right w:val="single" w:sz="4" w:color="D7DEE6"/>
          <w:insideH w:val="single" w:sz="4" w:color="D7DEE6"/>
          <w:insideV w:val="single" w:sz="4" w:color="D7DEE6"/>
        </w:tblBorders>
      </w:tblPr>
      <w:tblGrid>
        <w:gridCol w:w="2400"/>
        <w:gridCol w:w="900"/>
        <w:gridCol w:w="6060"/>
      </w:tblGrid>
      <w:tr>
        <w:trPr>
          <w:tblHeader w:val="true"/>
        </w:trPr>
        <w:tc>
          <w:tcPr>
            <w:tcW w:type="dxa" w:w="2400"/>
            <w:shd w:fill="E8EEF5"/>
            <w:vAlign w:val="center"/>
            <w:tcMar>
              <w:top w:w="80" w:type="dxa"/>
              <w:start w:w="120" w:type="dxa"/>
              <w:bottom w:w="80" w:type="dxa"/>
              <w:end w:w="120" w:type="dxa"/>
            </w:tcMar>
          </w:tcPr>
          <w:p>
            <w:pPr>
              <w:spacing w:after="0"/>
            </w:pPr>
            <w:r>
              <w:rPr>
                <w:rFonts w:ascii="Calibri" w:hAnsi="Calibri"/>
                <w:b/>
                <w:color w:val="0B2545"/>
                <w:sz w:val="19"/>
              </w:rPr>
              <w:t>Set</w:t>
            </w:r>
          </w:p>
        </w:tc>
        <w:tc>
          <w:tcPr>
            <w:tcW w:type="dxa" w:w="900"/>
            <w:shd w:fill="E8EEF5"/>
            <w:vAlign w:val="center"/>
            <w:tcMar>
              <w:top w:w="80" w:type="dxa"/>
              <w:start w:w="120" w:type="dxa"/>
              <w:bottom w:w="80" w:type="dxa"/>
              <w:end w:w="120" w:type="dxa"/>
            </w:tcMar>
          </w:tcPr>
          <w:p>
            <w:pPr>
              <w:spacing w:after="0"/>
            </w:pPr>
            <w:r>
              <w:rPr>
                <w:rFonts w:ascii="Calibri" w:hAnsi="Calibri"/>
                <w:b/>
                <w:color w:val="0B2545"/>
                <w:sz w:val="19"/>
              </w:rPr>
              <w:t>Aantal</w:t>
            </w:r>
          </w:p>
        </w:tc>
        <w:tc>
          <w:tcPr>
            <w:tcW w:type="dxa" w:w="6060"/>
            <w:shd w:fill="E8EEF5"/>
            <w:vAlign w:val="center"/>
            <w:tcMar>
              <w:top w:w="80" w:type="dxa"/>
              <w:start w:w="120" w:type="dxa"/>
              <w:bottom w:w="80" w:type="dxa"/>
              <w:end w:w="120" w:type="dxa"/>
            </w:tcMar>
          </w:tcPr>
          <w:p>
            <w:pPr>
              <w:spacing w:after="0"/>
            </w:pPr>
            <w:r>
              <w:rPr>
                <w:rFonts w:ascii="Calibri" w:hAnsi="Calibri"/>
                <w:b/>
                <w:color w:val="0B2545"/>
                <w:sz w:val="19"/>
              </w:rPr>
              <w:t>Inhoud</w:t>
            </w:r>
          </w:p>
        </w:tc>
      </w:tr>
      <w:tr>
        <w:tc>
          <w:tcPr>
            <w:tcW w:type="dxa" w:w="2400"/>
            <w:vAlign w:val="center"/>
            <w:tcMar>
              <w:top w:w="80" w:type="dxa"/>
              <w:start w:w="120" w:type="dxa"/>
              <w:bottom w:w="80" w:type="dxa"/>
              <w:end w:w="120" w:type="dxa"/>
            </w:tcMar>
          </w:tcPr>
          <w:p>
            <w:pPr>
              <w:spacing w:after="0"/>
            </w:pPr>
            <w:r>
              <w:rPr>
                <w:rFonts w:ascii="Calibri" w:hAnsi="Calibri"/>
                <w:sz w:val="19"/>
              </w:rPr>
              <w:t>Leeswijzer</w:t>
            </w:r>
          </w:p>
        </w:tc>
        <w:tc>
          <w:tcPr>
            <w:tcW w:type="dxa" w:w="900"/>
            <w:vAlign w:val="center"/>
            <w:tcMar>
              <w:top w:w="80" w:type="dxa"/>
              <w:start w:w="120" w:type="dxa"/>
              <w:bottom w:w="80" w:type="dxa"/>
              <w:end w:w="120" w:type="dxa"/>
            </w:tcMar>
          </w:tcPr>
          <w:p>
            <w:pPr>
              <w:spacing w:after="0"/>
            </w:pPr>
            <w:r>
              <w:rPr>
                <w:rFonts w:ascii="Calibri" w:hAnsi="Calibri"/>
                <w:sz w:val="19"/>
              </w:rPr>
              <w:t>1</w:t>
            </w:r>
          </w:p>
        </w:tc>
        <w:tc>
          <w:tcPr>
            <w:tcW w:type="dxa" w:w="6060"/>
            <w:vAlign w:val="center"/>
            <w:tcMar>
              <w:top w:w="80" w:type="dxa"/>
              <w:start w:w="120" w:type="dxa"/>
              <w:bottom w:w="80" w:type="dxa"/>
              <w:end w:w="120" w:type="dxa"/>
            </w:tcMar>
          </w:tcPr>
          <w:p>
            <w:pPr>
              <w:spacing w:after="0"/>
            </w:pPr>
            <w:r>
              <w:rPr>
                <w:rFonts w:ascii="Calibri" w:hAnsi="Calibri"/>
                <w:sz w:val="19"/>
              </w:rPr>
              <w:t>Dit document: doel, samenhang en aanbevolen leesvolgorde</w:t>
            </w:r>
          </w:p>
        </w:tc>
      </w:tr>
      <w:tr>
        <w:tc>
          <w:tcPr>
            <w:tcW w:type="dxa" w:w="2400"/>
            <w:vAlign w:val="center"/>
            <w:tcMar>
              <w:top w:w="80" w:type="dxa"/>
              <w:start w:w="120" w:type="dxa"/>
              <w:bottom w:w="80" w:type="dxa"/>
              <w:end w:w="120" w:type="dxa"/>
            </w:tcMar>
          </w:tcPr>
          <w:p>
            <w:pPr>
              <w:spacing w:after="0"/>
            </w:pPr>
            <w:r>
              <w:rPr>
                <w:rFonts w:ascii="Calibri" w:hAnsi="Calibri"/>
                <w:sz w:val="19"/>
              </w:rPr>
              <w:t>Herziening bestaande leergebieden</w:t>
            </w:r>
          </w:p>
        </w:tc>
        <w:tc>
          <w:tcPr>
            <w:tcW w:type="dxa" w:w="900"/>
            <w:vAlign w:val="center"/>
            <w:tcMar>
              <w:top w:w="80" w:type="dxa"/>
              <w:start w:w="120" w:type="dxa"/>
              <w:bottom w:w="80" w:type="dxa"/>
              <w:end w:w="120" w:type="dxa"/>
            </w:tcMar>
          </w:tcPr>
          <w:p>
            <w:pPr>
              <w:spacing w:after="0"/>
            </w:pPr>
            <w:r>
              <w:rPr>
                <w:rFonts w:ascii="Calibri" w:hAnsi="Calibri"/>
                <w:sz w:val="19"/>
              </w:rPr>
              <w:t>9</w:t>
            </w:r>
          </w:p>
        </w:tc>
        <w:tc>
          <w:tcPr>
            <w:tcW w:type="dxa" w:w="6060"/>
            <w:vAlign w:val="center"/>
            <w:tcMar>
              <w:top w:w="80" w:type="dxa"/>
              <w:start w:w="120" w:type="dxa"/>
              <w:bottom w:w="80" w:type="dxa"/>
              <w:end w:w="120" w:type="dxa"/>
            </w:tcMar>
          </w:tcPr>
          <w:p>
            <w:pPr>
              <w:spacing w:after="0"/>
            </w:pPr>
            <w:r>
              <w:rPr>
                <w:rFonts w:ascii="Calibri" w:hAnsi="Calibri"/>
                <w:sz w:val="19"/>
              </w:rPr>
              <w:t>Nieuwe kerndoelen binnen de herkenbare SLO-indeling</w:t>
            </w:r>
          </w:p>
        </w:tc>
      </w:tr>
      <w:tr>
        <w:tc>
          <w:tcPr>
            <w:tcW w:type="dxa" w:w="2400"/>
            <w:vAlign w:val="center"/>
            <w:tcMar>
              <w:top w:w="80" w:type="dxa"/>
              <w:start w:w="120" w:type="dxa"/>
              <w:bottom w:w="80" w:type="dxa"/>
              <w:end w:w="120" w:type="dxa"/>
            </w:tcMar>
          </w:tcPr>
          <w:p>
            <w:pPr>
              <w:spacing w:after="0"/>
            </w:pPr>
            <w:r>
              <w:rPr>
                <w:rFonts w:ascii="Calibri" w:hAnsi="Calibri"/>
                <w:sz w:val="19"/>
              </w:rPr>
              <w:t>Voorstel nieuwe indeling</w:t>
            </w:r>
          </w:p>
        </w:tc>
        <w:tc>
          <w:tcPr>
            <w:tcW w:type="dxa" w:w="900"/>
            <w:vAlign w:val="center"/>
            <w:tcMar>
              <w:top w:w="80" w:type="dxa"/>
              <w:start w:w="120" w:type="dxa"/>
              <w:bottom w:w="80" w:type="dxa"/>
              <w:end w:w="120" w:type="dxa"/>
            </w:tcMar>
          </w:tcPr>
          <w:p>
            <w:pPr>
              <w:spacing w:after="0"/>
            </w:pPr>
            <w:r>
              <w:rPr>
                <w:rFonts w:ascii="Calibri" w:hAnsi="Calibri"/>
                <w:sz w:val="19"/>
              </w:rPr>
              <w:t>1</w:t>
            </w:r>
          </w:p>
        </w:tc>
        <w:tc>
          <w:tcPr>
            <w:tcW w:type="dxa" w:w="6060"/>
            <w:vAlign w:val="center"/>
            <w:tcMar>
              <w:top w:w="80" w:type="dxa"/>
              <w:start w:w="120" w:type="dxa"/>
              <w:bottom w:w="80" w:type="dxa"/>
              <w:end w:w="120" w:type="dxa"/>
            </w:tcMar>
          </w:tcPr>
          <w:p>
            <w:pPr>
              <w:spacing w:after="0"/>
            </w:pPr>
            <w:r>
              <w:rPr>
                <w:rFonts w:ascii="Calibri" w:hAnsi="Calibri"/>
                <w:sz w:val="19"/>
              </w:rPr>
              <w:t>Onderbouwing, ontwerpprincipes en zeven nieuwe domeinen</w:t>
            </w:r>
          </w:p>
        </w:tc>
      </w:tr>
      <w:tr>
        <w:tc>
          <w:tcPr>
            <w:tcW w:type="dxa" w:w="2400"/>
            <w:vAlign w:val="center"/>
            <w:tcMar>
              <w:top w:w="80" w:type="dxa"/>
              <w:start w:w="120" w:type="dxa"/>
              <w:bottom w:w="80" w:type="dxa"/>
              <w:end w:w="120" w:type="dxa"/>
            </w:tcMar>
          </w:tcPr>
          <w:p>
            <w:pPr>
              <w:spacing w:after="0"/>
            </w:pPr>
            <w:r>
              <w:rPr>
                <w:rFonts w:ascii="Calibri" w:hAnsi="Calibri"/>
                <w:sz w:val="19"/>
              </w:rPr>
              <w:t>Kerndoelen nieuwe domeinen</w:t>
            </w:r>
          </w:p>
        </w:tc>
        <w:tc>
          <w:tcPr>
            <w:tcW w:type="dxa" w:w="900"/>
            <w:vAlign w:val="center"/>
            <w:tcMar>
              <w:top w:w="80" w:type="dxa"/>
              <w:start w:w="120" w:type="dxa"/>
              <w:bottom w:w="80" w:type="dxa"/>
              <w:end w:w="120" w:type="dxa"/>
            </w:tcMar>
          </w:tcPr>
          <w:p>
            <w:pPr>
              <w:spacing w:after="0"/>
            </w:pPr>
            <w:r>
              <w:rPr>
                <w:rFonts w:ascii="Calibri" w:hAnsi="Calibri"/>
                <w:sz w:val="19"/>
              </w:rPr>
              <w:t>7</w:t>
            </w:r>
          </w:p>
        </w:tc>
        <w:tc>
          <w:tcPr>
            <w:tcW w:type="dxa" w:w="6060"/>
            <w:vAlign w:val="center"/>
            <w:tcMar>
              <w:top w:w="80" w:type="dxa"/>
              <w:start w:w="120" w:type="dxa"/>
              <w:bottom w:w="80" w:type="dxa"/>
              <w:end w:w="120" w:type="dxa"/>
            </w:tcMar>
          </w:tcPr>
          <w:p>
            <w:pPr>
              <w:spacing w:after="0"/>
            </w:pPr>
            <w:r>
              <w:rPr>
                <w:rFonts w:ascii="Calibri" w:hAnsi="Calibri"/>
                <w:sz w:val="19"/>
              </w:rPr>
              <w:t>Volledige kerndoelen voor po en onderbouw vo volgens de nieuwe indeling</w:t>
            </w:r>
          </w:p>
        </w:tc>
      </w:tr>
    </w:tbl>
    <w:p>
      <w:r>
        <w:t>In totaal bestaat de set uit achttien Word-documenten. Ieder kerndoelendocument bevat een korte duiding, karakteristiek, ontwerpprincipes, een overzicht en afzonderlijke kerndoelen voor po en onderbouw vo.</w:t>
      </w:r>
    </w:p>
    <w:p>
      <w:pPr>
        <w:pStyle w:val="Heading1"/>
      </w:pPr>
      <w:r>
        <w:t>Twee routes door de set</w:t>
      </w:r>
    </w:p>
    <w:p>
      <w:pPr>
        <w:pStyle w:val="Heading2"/>
      </w:pPr>
      <w:r>
        <w:t>Route 1: verbeteren wat er al is</w:t>
      </w:r>
    </w:p>
    <w:p>
      <w:r>
        <w:t>Gebruik de negen documenten in 'Herziening bestaande leergebieden'. Deze route behoudt de huidige namen en herkenbaarheid, maar schrapt achterhaalde productiedoelen en voegt AI, zeggenschap, domeinkennis, lichamelijkheid en toekomstdenken toe.</w:t>
      </w:r>
    </w:p>
    <w:p>
      <w:pPr>
        <w:pStyle w:val="Heading2"/>
      </w:pPr>
      <w:r>
        <w:t>Route 2: werkelijk opnieuw beginnen</w:t>
      </w:r>
    </w:p>
    <w:p>
      <w:r>
        <w:t>Lees eerst 'Voorstel nieuwe curriculumindeling' en daarna de zeven documenten in 'Kerndoelen nieuwe domeinen'. Deze route herschikt het curriculum rond menselijke opgaven die relevant blijven wanneer cognitieve intelligentie niet langer schaars is.</w:t>
      </w:r>
    </w:p>
    <w:p>
      <w:pPr>
        <w:pStyle w:val="Heading1"/>
      </w:pPr>
      <w:r>
        <w:t>Aanbevolen leesvolgorde</w:t>
      </w:r>
    </w:p>
    <w:p>
      <w:pPr>
        <w:spacing w:before="0" w:after="80" w:line="300" w:lineRule="auto"/>
        <w:numPr>
          <w:ilvl w:val="0"/>
          <w:numId w:val="10"/>
        </w:numPr>
      </w:pPr>
      <w:r>
        <w:rPr>
          <w:rFonts w:ascii="Calibri" w:hAnsi="Calibri"/>
          <w:sz w:val="22"/>
        </w:rPr>
        <w:t>Begin met deze leeswijzer.</w:t>
      </w:r>
    </w:p>
    <w:p>
      <w:pPr>
        <w:spacing w:before="0" w:after="80" w:line="300" w:lineRule="auto"/>
        <w:numPr>
          <w:ilvl w:val="0"/>
          <w:numId w:val="10"/>
        </w:numPr>
      </w:pPr>
      <w:r>
        <w:rPr>
          <w:rFonts w:ascii="Calibri" w:hAnsi="Calibri"/>
          <w:sz w:val="22"/>
        </w:rPr>
        <w:t>Lees daarna het voorstel voor de nieuwe curriculumindeling.</w:t>
      </w:r>
    </w:p>
    <w:p>
      <w:pPr>
        <w:spacing w:before="0" w:after="80" w:line="300" w:lineRule="auto"/>
        <w:numPr>
          <w:ilvl w:val="0"/>
          <w:numId w:val="10"/>
        </w:numPr>
      </w:pPr>
      <w:r>
        <w:rPr>
          <w:rFonts w:ascii="Calibri" w:hAnsi="Calibri"/>
          <w:sz w:val="22"/>
        </w:rPr>
        <w:t>Vergelijk vervolgens een bekend leergebied met het meest verwante nieuwe domein.</w:t>
      </w:r>
    </w:p>
    <w:p>
      <w:pPr>
        <w:spacing w:before="0" w:after="80" w:line="300" w:lineRule="auto"/>
        <w:numPr>
          <w:ilvl w:val="0"/>
          <w:numId w:val="10"/>
        </w:numPr>
      </w:pPr>
      <w:r>
        <w:rPr>
          <w:rFonts w:ascii="Calibri" w:hAnsi="Calibri"/>
          <w:sz w:val="22"/>
        </w:rPr>
        <w:t>Gebruik de overige documenten om keuzes, overlap en ontbrekende accenten te bespreken.</w:t>
      </w:r>
    </w:p>
    <w:p>
      <w:pPr>
        <w:pStyle w:val="Heading1"/>
      </w:pPr>
      <w:r>
        <w:t>Status en gebruik</w:t>
      </w:r>
    </w:p>
    <w:p>
      <w:r>
        <w:t>De documenten zijn een onafhankelijke curriculumverkenning. Ze zijn niet afkomstig van SLO en hebben geen wettelijke status. De officiële vernieuwde kerndoelen blijven het juridische uitgangspunt voor scholen.</w:t>
      </w:r>
    </w:p>
    <w:p>
      <w:r>
        <w:t>De set is bedoeld als inhoudelijke basis voor visieontwikkeling, schoolontwerp en een volgende herschrijfronde. De formuleringen zijn bewust concreet genoeg om te bespreken, maar nog niet voorzien van leerlijnen, voorbeeldactiviteiten, beheersingsniveaus of een toetskader.</w:t>
      </w:r>
    </w:p>
    <w:p>
      <w:r>
        <w:t>Versie: concept 1.0, augustus 2026.</w:t>
      </w:r>
    </w:p>
    <w:p>
      <w:pPr>
        <w:pStyle w:val="Heading1"/>
      </w:pPr>
      <w:r>
        <w:t>Bronbasis</w:t>
      </w:r>
    </w:p>
    <w:p>
      <w:r>
        <w:t>De bronnen onderbouwen de ontwerprichting. De geformuleerde kerndoelen zijn een zelfstandig voorstel.</w:t>
      </w:r>
    </w:p>
    <w:p>
      <w:pPr>
        <w:spacing w:after="100"/>
      </w:pPr>
      <w:r>
        <w:rPr>
          <w:rFonts w:ascii="Calibri" w:hAnsi="Calibri"/>
          <w:b/>
          <w:sz w:val="19"/>
        </w:rPr>
        <w:t xml:space="preserve">SLO, actualisatie van de kerndoelen, status augustus 2026. </w:t>
      </w:r>
      <w:r>
        <w:rPr>
          <w:rFonts w:ascii="Calibri" w:hAnsi="Calibri"/>
          <w:color w:val="2E74B5"/>
          <w:sz w:val="19"/>
        </w:rPr>
        <w:t>https://www.slo.nl/thema/meer/actualisatie-kerndoelen-examenprogramma/actualisatie-kerndoelen/</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color w:val="5F6B76"/>
        <w:sz w:val="18"/>
      </w:rPr>
      <w:t xml:space="preserve">Toekomstgericht curriculumvoorstel | pagina </w:t>
    </w:r>
    <w:r>
      <w:rPr>
        <w:rFonts w:ascii="Calibri" w:hAnsi="Calibri"/>
        <w:color w:val="5F6B76"/>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jc w:val="left"/>
    </w:pPr>
    <w:r/>
    <w:r>
      <w:rPr>
        <w:rFonts w:ascii="Calibri" w:hAnsi="Calibri"/>
        <w:b/>
        <w:color w:val="5F6B76"/>
        <w:sz w:val="17"/>
      </w:rPr>
      <w:t>Leeswijzer toekomstgerichte kerndoelen</w:t>
    </w:r>
    <w:r>
      <w:rPr>
        <w:rFonts w:ascii="Calibri" w:hAnsi="Calibri"/>
        <w:color w:val="5F6B76"/>
        <w:sz w:val="17"/>
      </w:rPr>
      <w:tab/>
      <w:t>Concept | augustus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64"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64"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64"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Leeswijzer toekomstgerichte kerndoelen</dc:title>
  <dc:subject>Wat is onderzocht, wat ligt er en hoe gebruik je de documenten?</dc:subject>
  <dc:creator>Onafhankelijke curriculumverkenning</dc:creator>
  <cp:keywords/>
  <dc:description>generated by python-docx</dc:description>
  <cp:lastModifiedBy/>
  <cp:revision>1</cp:revision>
  <dcterms:created xsi:type="dcterms:W3CDTF">2013-12-23T23:15:00Z</dcterms:created>
  <dcterms:modified xsi:type="dcterms:W3CDTF">2013-12-23T23:15:00Z</dcterms:modified>
  <cp:category/>
</cp:coreProperties>
</file>